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04D" w:rsidRDefault="00336541">
      <w:pPr>
        <w:ind w:firstLine="540"/>
        <w:jc w:val="center"/>
        <w:rPr>
          <w:i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-95250</wp:posOffset>
                </wp:positionV>
                <wp:extent cx="586740" cy="685800"/>
                <wp:effectExtent l="0" t="0" r="3810" b="0"/>
                <wp:wrapTight wrapText="bothSides">
                  <wp:wrapPolygon edited="1">
                    <wp:start x="0" y="0"/>
                    <wp:lineTo x="0" y="21000"/>
                    <wp:lineTo x="21039" y="21000"/>
                    <wp:lineTo x="21039" y="0"/>
                    <wp:lineTo x="0" y="0"/>
                  </wp:wrapPolygon>
                </wp:wrapTight>
                <wp:docPr id="1" name="Рисунок 3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40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7728;o:allowoverlap:true;o:allowincell:true;mso-position-horizontal-relative:text;margin-left:216.00pt;mso-position-horizontal:absolute;mso-position-vertical-relative:text;margin-top:-7.50pt;mso-position-vertical:absolute;width:46.20pt;height:54.00pt;mso-wrap-distance-left:9.00pt;mso-wrap-distance-top:0.00pt;mso-wrap-distance-right:9.00pt;mso-wrap-distance-bottom:0.00pt;" wrapcoords="0 0 0 97222 97403 97222 97403 0 0 0" stroked="false">
                <v:path textboxrect="0,0,0,0"/>
                <w10:wrap type="tight"/>
                <v:imagedata r:id="rId14" o:title=""/>
              </v:shape>
            </w:pict>
          </mc:Fallback>
        </mc:AlternateContent>
      </w:r>
    </w:p>
    <w:p w:rsidR="0051104D" w:rsidRDefault="0051104D">
      <w:pPr>
        <w:ind w:firstLine="540"/>
        <w:jc w:val="both"/>
        <w:rPr>
          <w:i/>
          <w:sz w:val="28"/>
          <w:szCs w:val="28"/>
        </w:rPr>
      </w:pPr>
    </w:p>
    <w:p w:rsidR="0051104D" w:rsidRDefault="0051104D">
      <w:pPr>
        <w:ind w:firstLine="540"/>
        <w:jc w:val="both"/>
        <w:rPr>
          <w:i/>
          <w:sz w:val="28"/>
          <w:szCs w:val="28"/>
        </w:rPr>
      </w:pPr>
    </w:p>
    <w:p w:rsidR="0051104D" w:rsidRDefault="0051104D">
      <w:pPr>
        <w:ind w:firstLine="540"/>
        <w:jc w:val="both"/>
        <w:rPr>
          <w:i/>
          <w:sz w:val="16"/>
          <w:szCs w:val="16"/>
        </w:rPr>
      </w:pPr>
    </w:p>
    <w:p w:rsidR="0051104D" w:rsidRDefault="0033654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51104D" w:rsidRDefault="0033654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51104D" w:rsidRDefault="0051104D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51104D" w:rsidRDefault="003365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    № _________</w:t>
      </w:r>
    </w:p>
    <w:p w:rsidR="0051104D" w:rsidRDefault="00336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04D" w:rsidRDefault="0051104D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104D" w:rsidRDefault="00336541">
      <w:pPr>
        <w:pStyle w:val="210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 внесении изменений</w:t>
      </w:r>
      <w:r>
        <w:rPr>
          <w:b/>
          <w:szCs w:val="28"/>
        </w:rPr>
        <w:t xml:space="preserve"> в постановление администрации города Нефтеюганска от 26.09.2017 № 157-нп «Об утверждении Типового Положения о порядке организации и проведении конкурентных процедур при реализации имущества акционерными обществами, обществами                       с огран</w:t>
      </w:r>
      <w:r>
        <w:rPr>
          <w:b/>
          <w:szCs w:val="28"/>
        </w:rPr>
        <w:t>иченной ответственностью, доля участия муниципального образования город Нефтеюганск в которых составляет более                                 50 процентов</w:t>
      </w:r>
      <w:bookmarkEnd w:id="0"/>
      <w:r>
        <w:rPr>
          <w:b/>
          <w:szCs w:val="28"/>
        </w:rPr>
        <w:t xml:space="preserve">» </w:t>
      </w:r>
    </w:p>
    <w:p w:rsidR="0051104D" w:rsidRDefault="0051104D">
      <w:pPr>
        <w:pStyle w:val="210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51104D" w:rsidRDefault="00336541">
      <w:pPr>
        <w:pStyle w:val="25"/>
        <w:tabs>
          <w:tab w:val="left" w:pos="709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szCs w:val="28"/>
        </w:rPr>
        <w:tab/>
        <w:t xml:space="preserve">В соответствии с Федеральным законом от 20.03.2025 № 33-ФЗ                                      </w:t>
      </w:r>
      <w:r>
        <w:rPr>
          <w:rFonts w:ascii="Times New Roman CYR" w:hAnsi="Times New Roman CYR"/>
          <w:szCs w:val="28"/>
        </w:rPr>
        <w:t xml:space="preserve">   «Об общих принципах организации местного самоуправления в единой системе публичной власти», </w:t>
      </w:r>
      <w:hyperlink r:id="rId15" w:tooltip="https://login.consultant.ru/link/?req=doc&amp;base=RLAW926&amp;n=196180&amp;date=03.12.2025" w:history="1">
        <w:r>
          <w:rPr>
            <w:szCs w:val="28"/>
          </w:rPr>
          <w:t>распоряжением</w:t>
        </w:r>
      </w:hyperlink>
      <w:r>
        <w:rPr>
          <w:szCs w:val="28"/>
        </w:rPr>
        <w:t xml:space="preserve"> Правительства Ханты-Мансийского автономного округа - Югры от 26.07.2019 № 405-рп «Об одобрении перечня товарных рынков и плана мероприятий («Дорожной карты») по содействию развитию конкуренции в Ханты-Мансийском автономном</w:t>
      </w:r>
      <w:r>
        <w:rPr>
          <w:szCs w:val="28"/>
        </w:rPr>
        <w:t xml:space="preserve"> округе – Югре», </w:t>
      </w:r>
      <w:r>
        <w:rPr>
          <w:rFonts w:ascii="Times New Roman CYR" w:hAnsi="Times New Roman CYR"/>
          <w:szCs w:val="28"/>
        </w:rPr>
        <w:t xml:space="preserve">Уставом города Нефтеюганска, </w:t>
      </w:r>
      <w:r>
        <w:rPr>
          <w:szCs w:val="28"/>
        </w:rPr>
        <w:t xml:space="preserve">в целях приведения муниципального нормативного правового акта в соответствие с законодательством Российской Федерации </w:t>
      </w:r>
      <w:r>
        <w:rPr>
          <w:rFonts w:ascii="Times New Roman CYR" w:hAnsi="Times New Roman CYR"/>
        </w:rPr>
        <w:t>администрация города Нефтеюганска постановляет</w:t>
      </w:r>
      <w:r>
        <w:rPr>
          <w:szCs w:val="28"/>
        </w:rPr>
        <w:t xml:space="preserve">: 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 xml:space="preserve">1.Внести в постановление администрации города Нефтеюганска                           </w:t>
      </w:r>
      <w:r>
        <w:rPr>
          <w:sz w:val="28"/>
          <w:szCs w:val="28"/>
        </w:rPr>
        <w:t>от 26.09.2017 № 157-нп «Об утверждении Типового Положения о порядке организации и проведении конкурентных процедур при реализации имущества акционерными обществами, общест</w:t>
      </w:r>
      <w:r>
        <w:rPr>
          <w:sz w:val="28"/>
          <w:szCs w:val="28"/>
        </w:rPr>
        <w:t>вами с ограниченной ответственностью, доля участия муниципального образования город Нефтеюганск в которых составляет более 50 процентов» изменения, а именно: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1.1.В преамбуле постановления слова «во исполнение мероприятия, предусмотренного пунктом 11 раздел</w:t>
      </w:r>
      <w:r>
        <w:rPr>
          <w:sz w:val="28"/>
          <w:szCs w:val="28"/>
        </w:rPr>
        <w:t>а IV Плана мероприятий («Дорожной карты») по содействию развитию конкуренции в Ханты-Мансийском автономном округе - Югре, утвержденного распоряжением Правительства Ханты-Мансийского автономного округа - Югры от 10.07.2015 № 387-рп                        «О</w:t>
      </w:r>
      <w:r>
        <w:rPr>
          <w:sz w:val="28"/>
          <w:szCs w:val="28"/>
        </w:rPr>
        <w:t xml:space="preserve"> перечне приоритетных и социально значимых рынков товаров и услуг, плане мероприятий («дорожной карте») по содействию развитию конкуренции                      в Ханты-Мансийском автономном округе - Югре и признании утратившим силу распоряжения Правительст</w:t>
      </w:r>
      <w:r>
        <w:rPr>
          <w:sz w:val="28"/>
          <w:szCs w:val="28"/>
        </w:rPr>
        <w:t xml:space="preserve">ва Ханты-Мансийского автономного округа - Югры от 04.07.2014 № 382-рп «О плане мероприятий  («дорожной карте») «Развитие конкуренции в Ханты-Мансийском автономном округе – Югре, в соответствии с </w:t>
      </w:r>
      <w:r>
        <w:rPr>
          <w:sz w:val="28"/>
          <w:szCs w:val="28"/>
        </w:rPr>
        <w:lastRenderedPageBreak/>
        <w:t>Уставом города Нефтеюганска» заменить словами «в соответствии</w:t>
      </w:r>
      <w:r>
        <w:rPr>
          <w:sz w:val="28"/>
          <w:szCs w:val="28"/>
        </w:rPr>
        <w:t xml:space="preserve">                               с Федеральным законом от 20.03.2025 № 33-ФЗ «Об общих принципах организации местного самоуправления в единой системе публичной власти», </w:t>
      </w:r>
      <w:hyperlink r:id="rId16" w:tooltip="https://login.consultant.ru/link/?req=doc&amp;base=RLAW926&amp;n=196180&amp;date=03.12.2025" w:history="1">
        <w:r>
          <w:rPr>
            <w:sz w:val="28"/>
            <w:szCs w:val="28"/>
          </w:rPr>
          <w:t>распоряжением</w:t>
        </w:r>
      </w:hyperlink>
      <w:r>
        <w:rPr>
          <w:sz w:val="28"/>
          <w:szCs w:val="28"/>
        </w:rPr>
        <w:t xml:space="preserve"> Правительства Ханты-Мансийского автономного округа - Югры от 26.07.2019 № 405-рп «Об одобрении перечня товарных рынков и плана мероприятий («Дорожной </w:t>
      </w:r>
      <w:r>
        <w:rPr>
          <w:sz w:val="28"/>
          <w:szCs w:val="28"/>
        </w:rPr>
        <w:t>карты») по содействию развитию конкуренции в Ханты-Мансийском автономном округе – Югре», Уставом города Нефтеюганска».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1.2.В приложении к постановлению: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1.2.1.Пункт 1 дополнить абзацем четвертым следующего содержания: «Продажа имущества способами, установл</w:t>
      </w:r>
      <w:r>
        <w:rPr>
          <w:sz w:val="28"/>
          <w:szCs w:val="28"/>
        </w:rPr>
        <w:t xml:space="preserve">енными </w:t>
      </w:r>
      <w:hyperlink w:anchor="P56" w:tooltip="6. Способы реализации Имущества:" w:history="1">
        <w:r>
          <w:rPr>
            <w:sz w:val="28"/>
            <w:szCs w:val="28"/>
          </w:rPr>
          <w:t>пунктом 6</w:t>
        </w:r>
      </w:hyperlink>
      <w:r>
        <w:rPr>
          <w:sz w:val="28"/>
          <w:szCs w:val="28"/>
        </w:rPr>
        <w:t xml:space="preserve"> настоящего Типового положения, осуществляется в электронной форме.».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1.2.2.В пункте 6: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1.2.2.1.В абзаце первом подпункта 6.1 слова «(в том числе в электронной форме)» исключить.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1.2.2.2.В абзаце первом подпункта 6.2 слова «(в том числе в электронной форме)» исключить.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1.2.2.3.В абзаце первом подпункта 6.3 слова «(в том числе при электронной форме)» исключить.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Подпункт 6.4 изложить в следующей редакции: 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«6.</w:t>
      </w:r>
      <w:proofErr w:type="gramStart"/>
      <w:r>
        <w:rPr>
          <w:sz w:val="28"/>
          <w:szCs w:val="28"/>
        </w:rPr>
        <w:t>4.</w:t>
      </w:r>
      <w:r>
        <w:rPr>
          <w:sz w:val="28"/>
          <w:szCs w:val="28"/>
        </w:rPr>
        <w:t>Реализация</w:t>
      </w:r>
      <w:proofErr w:type="gramEnd"/>
      <w:r>
        <w:rPr>
          <w:sz w:val="28"/>
          <w:szCs w:val="28"/>
        </w:rPr>
        <w:t xml:space="preserve"> Имущества по минимально допустимой цене - конкурентная форма реализации Имущества, при которой минимальная цена Имущества устанавливается в размере 5 процентов от цены первоначального предложения, указанной в информационном сообщении о продаже п</w:t>
      </w:r>
      <w:r>
        <w:rPr>
          <w:sz w:val="28"/>
          <w:szCs w:val="28"/>
        </w:rPr>
        <w:t>осредством публичного предложения. Если цена первоначального 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Имущества при продаже по минимально допустим</w:t>
      </w:r>
      <w:r>
        <w:rPr>
          <w:sz w:val="28"/>
          <w:szCs w:val="28"/>
        </w:rPr>
        <w:t>ой цене устанавливается                   в размере 10 процентов от такой цены первоначального предложения.</w:t>
      </w:r>
    </w:p>
    <w:p w:rsidR="0051104D" w:rsidRDefault="003365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Имущества по минимально допустимой цене осуществляется, если продажа этого имущества посредством публичного предложения не состоялась.</w:t>
      </w:r>
    </w:p>
    <w:p w:rsidR="0051104D" w:rsidRDefault="003365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едложения о цене Имущества заявляются участниками продажи по минимально допустимой цене открыто в ходе приема заявок.</w:t>
      </w:r>
    </w:p>
    <w:p w:rsidR="0051104D" w:rsidRDefault="003365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заявку на участие в продаже по минимально допустимой цене подало только одно лицо, допущенное к участию в продаже по минима</w:t>
      </w:r>
      <w:r>
        <w:rPr>
          <w:rFonts w:ascii="Times New Roman" w:hAnsi="Times New Roman" w:cs="Times New Roman"/>
          <w:sz w:val="28"/>
          <w:szCs w:val="28"/>
        </w:rPr>
        <w:t>льно допустимой цене,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</w:t>
      </w:r>
    </w:p>
    <w:p w:rsidR="0051104D" w:rsidRDefault="003365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</w:t>
      </w:r>
      <w:r>
        <w:rPr>
          <w:rFonts w:ascii="Times New Roman" w:hAnsi="Times New Roman" w:cs="Times New Roman"/>
          <w:sz w:val="28"/>
          <w:szCs w:val="28"/>
        </w:rPr>
        <w:t xml:space="preserve"> в продаже по минимально допустимой цене претендент перед подачей предложения о цене Имущества вносит на счет оператора электронной площадки, указанный в информационном сообщении, задаток в размере одного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процента цены первоначального предложения, указанно</w:t>
      </w:r>
      <w:r>
        <w:rPr>
          <w:rFonts w:ascii="Times New Roman" w:hAnsi="Times New Roman" w:cs="Times New Roman"/>
          <w:sz w:val="28"/>
          <w:szCs w:val="28"/>
        </w:rPr>
        <w:t>й в информационном сообщении о продаже посредством публичного предложения.</w:t>
      </w:r>
    </w:p>
    <w:p w:rsidR="0051104D" w:rsidRDefault="003365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лицо имеет право подать только одну заявку, а также одно или несколько предложений о цене Имущества. При подведении итогов продажи по минимально допустимой цене из всех поступи</w:t>
      </w:r>
      <w:r>
        <w:rPr>
          <w:rFonts w:ascii="Times New Roman" w:hAnsi="Times New Roman" w:cs="Times New Roman"/>
          <w:sz w:val="28"/>
          <w:szCs w:val="28"/>
        </w:rPr>
        <w:t>вших от одного лица предложений о цене Имущества учитывается предложение, содержащее наибольшую цену.          Не допускается подача предложения о цене Имущества, в котором цена такого предложения на момент подачи будет меньше или равна наибольшей цене, со</w:t>
      </w:r>
      <w:r>
        <w:rPr>
          <w:rFonts w:ascii="Times New Roman" w:hAnsi="Times New Roman" w:cs="Times New Roman"/>
          <w:sz w:val="28"/>
          <w:szCs w:val="28"/>
        </w:rPr>
        <w:t>держащейся в предложениях о цене Имущества, поступивших от остальных претендентов.</w:t>
      </w:r>
    </w:p>
    <w:p w:rsidR="0051104D" w:rsidRDefault="003365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размер повышения цены продаваемого Имущества                              не ограничен.</w:t>
      </w:r>
    </w:p>
    <w:p w:rsidR="0051104D" w:rsidRDefault="003365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Покупателем Имущества при проведении продажи по минимально допустимой цене</w:t>
      </w:r>
      <w:r>
        <w:rPr>
          <w:rFonts w:ascii="Times New Roman" w:hAnsi="Times New Roman" w:cs="Times New Roman"/>
          <w:sz w:val="28"/>
          <w:szCs w:val="28"/>
        </w:rPr>
        <w:t xml:space="preserve">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имущества. В случае поступления нескольких одинаковых предложений о цене Имущества покупателем признается лицо, по</w:t>
      </w:r>
      <w:r>
        <w:rPr>
          <w:rFonts w:ascii="Times New Roman" w:hAnsi="Times New Roman" w:cs="Times New Roman"/>
          <w:sz w:val="28"/>
          <w:szCs w:val="28"/>
        </w:rPr>
        <w:t>давшее предложение о цене такого имущества ранее других лиц и допущенное к участию в продаже.».</w:t>
      </w:r>
    </w:p>
    <w:p w:rsidR="0051104D" w:rsidRDefault="0033654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proofErr w:type="gramStart"/>
      <w:r>
        <w:rPr>
          <w:sz w:val="28"/>
          <w:szCs w:val="28"/>
        </w:rPr>
        <w:t>4.Пункт</w:t>
      </w:r>
      <w:proofErr w:type="gramEnd"/>
      <w:r>
        <w:rPr>
          <w:sz w:val="28"/>
          <w:szCs w:val="28"/>
        </w:rPr>
        <w:t xml:space="preserve"> 10 изложить в следующей редакции:</w:t>
      </w:r>
    </w:p>
    <w:p w:rsidR="0051104D" w:rsidRDefault="0033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Start"/>
      <w:r>
        <w:rPr>
          <w:rFonts w:ascii="Times New Roman" w:hAnsi="Times New Roman" w:cs="Times New Roman"/>
          <w:sz w:val="28"/>
          <w:szCs w:val="28"/>
        </w:rPr>
        <w:t>10.Проведение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продажи Имущества в электронной форме осуществляется на электронной площадке оператором электрон</w:t>
      </w:r>
      <w:r>
        <w:rPr>
          <w:rFonts w:ascii="Times New Roman" w:hAnsi="Times New Roman" w:cs="Times New Roman"/>
          <w:sz w:val="28"/>
          <w:szCs w:val="28"/>
        </w:rPr>
        <w:t xml:space="preserve">ной площадки. Оператор электронной площадки выбирается из перечня, утвержденного </w:t>
      </w:r>
      <w:hyperlink r:id="rId17" w:tooltip="Распоряжение Правительства РФ от 12.07.2018 N 1447-р (ред. от 23.11.2022) &lt;Об утверждении перечней операторов электронных площадок и специализированных электронных площадок, предусмотренных Федеральными законами от 05.04.2013 N 44-ФЗ, от 18.07.2011 N 223-ФЗ&gt; {" w:history="1">
        <w:r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12.07.2018 № 1447-р «</w:t>
      </w:r>
      <w:r>
        <w:rPr>
          <w:rFonts w:ascii="Times New Roman" w:hAnsi="Times New Roman" w:cs="Times New Roman"/>
          <w:sz w:val="28"/>
          <w:szCs w:val="28"/>
        </w:rPr>
        <w:t>Об утверждении перечней операторов электронных площадок и специализированных электронных площадок, предусмотренных Федеральными законами                               от 05.04.2013 № 44-ФЗ «О контрактной системе в сфере закупок товаров, работ, услуг для об</w:t>
      </w:r>
      <w:r>
        <w:rPr>
          <w:rFonts w:ascii="Times New Roman" w:hAnsi="Times New Roman" w:cs="Times New Roman"/>
          <w:sz w:val="28"/>
          <w:szCs w:val="28"/>
        </w:rPr>
        <w:t>еспечения государственных и муниципальных нужд», от 18.07.2011 № 223-ФЗ «О закупках товаров, работ, услуг отдельными видами юридических лиц».».</w:t>
      </w:r>
    </w:p>
    <w:p w:rsidR="0051104D" w:rsidRDefault="0033654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1.2.5.В пункте 11:</w:t>
      </w:r>
    </w:p>
    <w:p w:rsidR="0051104D" w:rsidRDefault="0033654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1.2.5.1.В абзаце первом слова «на одном из сайтов» заменить словами «на сайтах».</w:t>
      </w:r>
    </w:p>
    <w:p w:rsidR="0051104D" w:rsidRDefault="0033654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</w:t>
      </w:r>
      <w:r>
        <w:rPr>
          <w:rFonts w:ascii="Times New Roman" w:hAnsi="Times New Roman" w:cs="Times New Roman"/>
          <w:sz w:val="28"/>
          <w:szCs w:val="28"/>
        </w:rPr>
        <w:t>.5.</w:t>
      </w:r>
      <w:proofErr w:type="gramStart"/>
      <w:r>
        <w:rPr>
          <w:rFonts w:ascii="Times New Roman" w:hAnsi="Times New Roman" w:cs="Times New Roman"/>
          <w:sz w:val="28"/>
          <w:szCs w:val="28"/>
        </w:rPr>
        <w:t>2.Подпункт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11.2 признать утратившим силу.</w:t>
      </w:r>
    </w:p>
    <w:p w:rsidR="0051104D" w:rsidRDefault="00336541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1.2.5.</w:t>
      </w:r>
      <w:proofErr w:type="gramStart"/>
      <w:r>
        <w:rPr>
          <w:rFonts w:ascii="Times New Roman" w:hAnsi="Times New Roman" w:cs="Times New Roman"/>
          <w:sz w:val="28"/>
          <w:szCs w:val="28"/>
        </w:rPr>
        <w:t>3.Подпункт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11.3 дополнить абзацем пятым следующего содержания: </w:t>
      </w:r>
    </w:p>
    <w:p w:rsidR="0051104D" w:rsidRDefault="00336541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«Продолжительность приема заявок на участие в аукционе, конкурсе, на участие в продаже посредством публичного предложения должна быть не</w:t>
      </w:r>
      <w:r>
        <w:rPr>
          <w:rFonts w:ascii="Times New Roman" w:hAnsi="Times New Roman" w:cs="Times New Roman"/>
          <w:sz w:val="28"/>
          <w:szCs w:val="28"/>
        </w:rPr>
        <w:t xml:space="preserve"> менее чем двадцать пять дней. Продолжительность приема заявок на участие в продаже по минимально допустимой цене должна быть не менее чем пятьдесят дней.».</w:t>
      </w:r>
    </w:p>
    <w:p w:rsidR="0051104D" w:rsidRDefault="00336541">
      <w:pPr>
        <w:pStyle w:val="aff2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t xml:space="preserve"> </w:t>
      </w:r>
      <w:r>
        <w:rPr>
          <w:color w:val="000000"/>
          <w:sz w:val="28"/>
          <w:szCs w:val="28"/>
        </w:rPr>
        <w:t xml:space="preserve"> 2.</w:t>
      </w:r>
      <w:r>
        <w:rPr>
          <w:rFonts w:hint="eastAsia"/>
          <w:color w:val="000000"/>
          <w:sz w:val="28"/>
          <w:szCs w:val="28"/>
        </w:rPr>
        <w:t>Обнародовать</w:t>
      </w:r>
      <w:r>
        <w:rPr>
          <w:color w:val="000000"/>
          <w:sz w:val="28"/>
          <w:szCs w:val="28"/>
        </w:rPr>
        <w:t xml:space="preserve"> (</w:t>
      </w:r>
      <w:r>
        <w:rPr>
          <w:rFonts w:hint="eastAsia"/>
          <w:color w:val="000000"/>
          <w:sz w:val="28"/>
          <w:szCs w:val="28"/>
        </w:rPr>
        <w:t>опубликовать</w:t>
      </w:r>
      <w:r>
        <w:rPr>
          <w:color w:val="000000"/>
          <w:sz w:val="28"/>
          <w:szCs w:val="28"/>
        </w:rPr>
        <w:t xml:space="preserve">) </w:t>
      </w:r>
      <w:r>
        <w:rPr>
          <w:rFonts w:hint="eastAsia"/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газете</w:t>
      </w:r>
      <w:r>
        <w:rPr>
          <w:color w:val="000000"/>
          <w:sz w:val="28"/>
          <w:szCs w:val="28"/>
        </w:rPr>
        <w:t xml:space="preserve"> «</w:t>
      </w:r>
      <w:proofErr w:type="gramStart"/>
      <w:r>
        <w:rPr>
          <w:rFonts w:hint="eastAsia"/>
          <w:color w:val="000000"/>
          <w:sz w:val="28"/>
          <w:szCs w:val="28"/>
        </w:rPr>
        <w:t>Здравствуйте</w:t>
      </w:r>
      <w:r>
        <w:rPr>
          <w:color w:val="000000"/>
          <w:sz w:val="28"/>
          <w:szCs w:val="28"/>
        </w:rPr>
        <w:t xml:space="preserve">,   </w:t>
      </w:r>
      <w:proofErr w:type="gramEnd"/>
      <w:r>
        <w:rPr>
          <w:color w:val="000000"/>
          <w:sz w:val="28"/>
          <w:szCs w:val="28"/>
        </w:rPr>
        <w:t xml:space="preserve">                          </w:t>
      </w:r>
      <w:r>
        <w:rPr>
          <w:rFonts w:hint="eastAsia"/>
          <w:color w:val="000000"/>
          <w:sz w:val="28"/>
          <w:szCs w:val="28"/>
        </w:rPr>
        <w:t>нефтеюганцы</w:t>
      </w:r>
      <w:r>
        <w:rPr>
          <w:color w:val="000000"/>
          <w:sz w:val="28"/>
          <w:szCs w:val="28"/>
        </w:rPr>
        <w:t xml:space="preserve">!». </w:t>
      </w:r>
    </w:p>
    <w:p w:rsidR="0051104D" w:rsidRDefault="0033654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3.Информационно-аналитическому отделу администрации города (Михайлова Ю.В..) разместить постановление на официальном сайте органов местного самоуправления города Нефтеюганска.</w:t>
      </w:r>
    </w:p>
    <w:p w:rsidR="0051104D" w:rsidRDefault="00336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после его официального опубликов</w:t>
      </w:r>
      <w:r>
        <w:rPr>
          <w:sz w:val="28"/>
          <w:szCs w:val="28"/>
        </w:rPr>
        <w:t>ания.</w:t>
      </w:r>
    </w:p>
    <w:p w:rsidR="0051104D" w:rsidRDefault="0051104D">
      <w:pPr>
        <w:ind w:firstLine="709"/>
        <w:jc w:val="both"/>
        <w:rPr>
          <w:sz w:val="32"/>
          <w:szCs w:val="32"/>
        </w:rPr>
      </w:pPr>
    </w:p>
    <w:p w:rsidR="0051104D" w:rsidRDefault="00336541">
      <w:pPr>
        <w:jc w:val="both"/>
        <w:rPr>
          <w:sz w:val="28"/>
          <w:szCs w:val="28"/>
        </w:rPr>
        <w:sectPr w:rsidR="0051104D">
          <w:headerReference w:type="even" r:id="rId18"/>
          <w:headerReference w:type="default" r:id="rId19"/>
          <w:footerReference w:type="even" r:id="rId20"/>
          <w:footerReference w:type="default" r:id="rId2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Глава города Нефтеюганска </w:t>
      </w:r>
      <w:r>
        <w:rPr>
          <w:sz w:val="28"/>
          <w:szCs w:val="28"/>
        </w:rPr>
        <w:tab/>
        <w:t xml:space="preserve">  </w:t>
      </w:r>
      <w:r w:rsidR="00587804">
        <w:rPr>
          <w:sz w:val="28"/>
          <w:szCs w:val="28"/>
        </w:rPr>
        <w:t xml:space="preserve">  </w:t>
      </w:r>
      <w:r w:rsidR="00587804">
        <w:rPr>
          <w:sz w:val="28"/>
          <w:szCs w:val="28"/>
        </w:rPr>
        <w:tab/>
      </w:r>
      <w:r w:rsidR="00587804">
        <w:rPr>
          <w:sz w:val="28"/>
          <w:szCs w:val="28"/>
        </w:rPr>
        <w:tab/>
      </w:r>
      <w:r w:rsidR="00587804">
        <w:rPr>
          <w:sz w:val="28"/>
          <w:szCs w:val="28"/>
        </w:rPr>
        <w:tab/>
      </w:r>
      <w:r w:rsidR="00587804">
        <w:rPr>
          <w:sz w:val="28"/>
          <w:szCs w:val="28"/>
        </w:rPr>
        <w:tab/>
      </w:r>
      <w:r w:rsidR="00587804">
        <w:rPr>
          <w:sz w:val="28"/>
          <w:szCs w:val="28"/>
        </w:rPr>
        <w:tab/>
        <w:t xml:space="preserve">             </w:t>
      </w:r>
      <w:proofErr w:type="spellStart"/>
      <w:r w:rsidR="00587804">
        <w:rPr>
          <w:sz w:val="28"/>
          <w:szCs w:val="28"/>
        </w:rPr>
        <w:t>Ю.В.Чекунов</w:t>
      </w:r>
      <w:proofErr w:type="spellEnd"/>
    </w:p>
    <w:p w:rsidR="0051104D" w:rsidRDefault="0051104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51104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541" w:rsidRDefault="00336541">
      <w:r>
        <w:separator/>
      </w:r>
    </w:p>
  </w:endnote>
  <w:endnote w:type="continuationSeparator" w:id="0">
    <w:p w:rsidR="00336541" w:rsidRDefault="0033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4D" w:rsidRDefault="00336541">
    <w:pPr>
      <w:pStyle w:val="af8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51104D" w:rsidRDefault="0051104D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4D" w:rsidRDefault="0051104D">
    <w:pPr>
      <w:pStyle w:val="af8"/>
      <w:framePr w:wrap="around" w:vAnchor="text" w:hAnchor="margin" w:xAlign="right" w:y="1"/>
      <w:rPr>
        <w:rStyle w:val="af7"/>
      </w:rPr>
    </w:pPr>
  </w:p>
  <w:p w:rsidR="0051104D" w:rsidRDefault="0051104D">
    <w:pPr>
      <w:pStyle w:val="af8"/>
      <w:framePr w:wrap="around" w:vAnchor="text" w:hAnchor="margin" w:xAlign="right" w:y="1"/>
      <w:ind w:right="360"/>
      <w:rPr>
        <w:rStyle w:val="af7"/>
      </w:rPr>
    </w:pPr>
  </w:p>
  <w:p w:rsidR="0051104D" w:rsidRDefault="0051104D">
    <w:pPr>
      <w:pStyle w:val="af8"/>
      <w:framePr w:wrap="around" w:vAnchor="text" w:hAnchor="margin" w:xAlign="right" w:y="1"/>
      <w:ind w:right="360"/>
      <w:rPr>
        <w:rStyle w:val="af7"/>
      </w:rPr>
    </w:pPr>
  </w:p>
  <w:p w:rsidR="0051104D" w:rsidRDefault="0051104D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541" w:rsidRDefault="00336541">
      <w:r>
        <w:separator/>
      </w:r>
    </w:p>
  </w:footnote>
  <w:footnote w:type="continuationSeparator" w:id="0">
    <w:p w:rsidR="00336541" w:rsidRDefault="0033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4D" w:rsidRDefault="00336541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</w:rPr>
      <w:t>2</w:t>
    </w:r>
    <w:r>
      <w:rPr>
        <w:rStyle w:val="af7"/>
      </w:rPr>
      <w:fldChar w:fldCharType="end"/>
    </w:r>
  </w:p>
  <w:p w:rsidR="0051104D" w:rsidRDefault="0051104D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4D" w:rsidRDefault="00336541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587804">
      <w:rPr>
        <w:noProof/>
      </w:rPr>
      <w:t>4</w:t>
    </w:r>
    <w:r>
      <w:fldChar w:fldCharType="end"/>
    </w:r>
  </w:p>
  <w:p w:rsidR="0051104D" w:rsidRDefault="0051104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95148"/>
    <w:multiLevelType w:val="hybridMultilevel"/>
    <w:tmpl w:val="0158DDA4"/>
    <w:lvl w:ilvl="0" w:tplc="634A95A2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112ACC96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1D86F3B8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7DF20ADE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490A52DA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FA24DBC4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AAF651C4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2D6602F6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DBA29740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4D"/>
    <w:rsid w:val="00336541"/>
    <w:rsid w:val="0051104D"/>
    <w:rsid w:val="0058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34A8"/>
  <w15:docId w15:val="{D1C62B46-CEA9-4425-A2FE-914F9FF1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Pr>
      <w:rFonts w:cs="Times New Roman"/>
      <w:b/>
      <w:sz w:val="28"/>
    </w:r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customStyle="1" w:styleId="af6">
    <w:name w:val="Верхний колонтитул Знак"/>
    <w:link w:val="af5"/>
    <w:uiPriority w:val="99"/>
    <w:rPr>
      <w:rFonts w:cs="Times New Roman"/>
      <w:lang w:val="ru-RU" w:eastAsia="ru-RU" w:bidi="ar-SA"/>
    </w:rPr>
  </w:style>
  <w:style w:type="character" w:styleId="af7">
    <w:name w:val="page number"/>
    <w:rPr>
      <w:rFonts w:ascii="Tahoma" w:hAnsi="Tahoma" w:cs="Times New Roman"/>
      <w:lang w:val="en-US" w:eastAsia="en-US" w:bidi="ar-SA"/>
    </w:rPr>
  </w:style>
  <w:style w:type="paragraph" w:styleId="af8">
    <w:name w:val="footer"/>
    <w:basedOn w:val="a"/>
    <w:link w:val="af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link w:val="af8"/>
    <w:rPr>
      <w:rFonts w:cs="Times New Roman"/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Pr>
      <w:sz w:val="28"/>
    </w:rPr>
  </w:style>
  <w:style w:type="paragraph" w:styleId="afa">
    <w:name w:val="Body Text"/>
    <w:basedOn w:val="a"/>
    <w:link w:val="afb"/>
    <w:uiPriority w:val="99"/>
    <w:rPr>
      <w:i/>
    </w:rPr>
  </w:style>
  <w:style w:type="character" w:customStyle="1" w:styleId="afb">
    <w:name w:val="Основной текст Знак"/>
    <w:link w:val="afa"/>
    <w:uiPriority w:val="99"/>
    <w:rPr>
      <w:rFonts w:cs="Times New Roman"/>
      <w:i/>
    </w:rPr>
  </w:style>
  <w:style w:type="paragraph" w:customStyle="1" w:styleId="220">
    <w:name w:val="Основной текст 22"/>
    <w:basedOn w:val="a"/>
    <w:uiPriority w:val="99"/>
    <w:rPr>
      <w:sz w:val="28"/>
    </w:rPr>
  </w:style>
  <w:style w:type="paragraph" w:customStyle="1" w:styleId="afc">
    <w:name w:val="Знак"/>
    <w:basedOn w:val="a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0">
    <w:name w:val="Основной текст 23"/>
    <w:basedOn w:val="a"/>
    <w:uiPriority w:val="99"/>
    <w:rPr>
      <w:sz w:val="28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  <w:style w:type="paragraph" w:styleId="afd">
    <w:name w:val="Block Text"/>
    <w:basedOn w:val="a"/>
    <w:uiPriority w:val="99"/>
    <w:pPr>
      <w:ind w:left="1440" w:right="1080" w:firstLine="180"/>
      <w:jc w:val="both"/>
    </w:pPr>
    <w:rPr>
      <w:sz w:val="28"/>
      <w:szCs w:val="24"/>
    </w:rPr>
  </w:style>
  <w:style w:type="paragraph" w:customStyle="1" w:styleId="13">
    <w:name w:val="Знак1"/>
    <w:basedOn w:val="a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0">
    <w:name w:val="Основной текст 24"/>
    <w:basedOn w:val="a"/>
    <w:uiPriority w:val="99"/>
    <w:rPr>
      <w:sz w:val="28"/>
    </w:rPr>
  </w:style>
  <w:style w:type="paragraph" w:styleId="afe">
    <w:name w:val="Balloon Text"/>
    <w:basedOn w:val="a"/>
    <w:link w:val="aff"/>
    <w:uiPriority w:val="99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rPr>
      <w:rFonts w:ascii="Tahoma" w:hAnsi="Tahoma" w:cs="Tahoma"/>
      <w:sz w:val="16"/>
      <w:szCs w:val="16"/>
    </w:rPr>
  </w:style>
  <w:style w:type="table" w:styleId="aff0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Hyperlink"/>
    <w:uiPriority w:val="99"/>
    <w:semiHidden/>
    <w:unhideWhenUsed/>
    <w:rPr>
      <w:color w:val="0000FF"/>
      <w:u w:val="single"/>
    </w:rPr>
  </w:style>
  <w:style w:type="paragraph" w:styleId="aff2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сновной текст 25"/>
    <w:basedOn w:val="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7" Type="http://schemas.openxmlformats.org/officeDocument/2006/relationships/hyperlink" Target="https://login.consultant.ru/link/?req=doc&amp;base=LAW&amp;n=432327&amp;date=03.12.20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26&amp;n=196180&amp;date=03.12.202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926&amp;n=196180&amp;date=03.12.2025" TargetMode="External"/><Relationship Id="rId23" Type="http://schemas.openxmlformats.org/officeDocument/2006/relationships/theme" Target="theme/theme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F127C-747D-4F1B-B204-FD18DB2D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184</cp:revision>
  <cp:lastPrinted>2025-12-18T07:39:00Z</cp:lastPrinted>
  <dcterms:created xsi:type="dcterms:W3CDTF">2023-04-29T07:40:00Z</dcterms:created>
  <dcterms:modified xsi:type="dcterms:W3CDTF">2025-12-18T07:42:00Z</dcterms:modified>
</cp:coreProperties>
</file>